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E80D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ИСПОЛНИТЕЛЬНЫЙ КОМИТЕТ</w:t>
      </w:r>
    </w:p>
    <w:p w14:paraId="0C1AE57B" w14:textId="6E89A22F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НАЦИОНАЛЬНЫЙ БАНК МОЛДОВЫ</w:t>
      </w:r>
    </w:p>
    <w:p w14:paraId="7EE2466B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49B4738D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ПОСТАНОВЛЕНИЕ</w:t>
      </w:r>
    </w:p>
    <w:p w14:paraId="5E1CE1F8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A3D2F50" w14:textId="4A05C1F1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№ 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1</w:t>
      </w:r>
      <w:r w:rsidR="006E3550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o-RO" w:eastAsia="ro-MD"/>
          <w14:ligatures w14:val="none"/>
        </w:rPr>
        <w:t>0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  от  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11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 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января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 20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u w:val="single"/>
          <w:lang w:val="ru-RU" w:eastAsia="ro-MD"/>
          <w14:ligatures w14:val="none"/>
        </w:rPr>
        <w:t>24</w:t>
      </w:r>
    </w:p>
    <w:p w14:paraId="7E78C57C" w14:textId="77777777" w:rsidR="00D511B5" w:rsidRP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12ED9ED5" w14:textId="77777777" w:rsidR="006E3550" w:rsidRDefault="00D511B5" w:rsidP="006E3550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 xml:space="preserve">об утверждении Регламента </w:t>
      </w:r>
      <w:r w:rsidR="006E3550" w:rsidRPr="006E3550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о деятельности небанковских поставщиков платежных услуг</w:t>
      </w:r>
    </w:p>
    <w:p w14:paraId="631C0F94" w14:textId="5A27AD84" w:rsidR="00D511B5" w:rsidRPr="00D511B5" w:rsidRDefault="00D511B5" w:rsidP="006E3550">
      <w:pPr>
        <w:spacing w:after="0" w:line="240" w:lineRule="auto"/>
        <w:jc w:val="center"/>
        <w:rPr>
          <w:rFonts w:ascii="PermianSerifTypeface" w:eastAsia="Times New Roman" w:hAnsi="PermianSerifTypeface" w:cs="Arial"/>
          <w:kern w:val="0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lang w:val="ru-RU" w:eastAsia="ro-MD"/>
          <w14:ligatures w14:val="none"/>
        </w:rPr>
        <w:t> 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(в силу c 2</w:t>
      </w:r>
      <w:r w:rsidR="006E3550">
        <w:rPr>
          <w:rFonts w:ascii="PermianSerifTypeface" w:eastAsia="Times New Roman" w:hAnsi="PermianSerifTypeface" w:cs="Arial"/>
          <w:i/>
          <w:iCs/>
          <w:kern w:val="0"/>
          <w:lang w:val="ro-RO" w:eastAsia="ro-MD"/>
          <w14:ligatures w14:val="none"/>
        </w:rPr>
        <w:t>5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.01.2024, за </w:t>
      </w:r>
      <w:r w:rsidR="00334474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исключением 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некоторы</w:t>
      </w:r>
      <w:r w:rsidR="00334474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х положений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 xml:space="preserve"> п. </w:t>
      </w:r>
      <w:r w:rsidR="006E3550">
        <w:rPr>
          <w:rFonts w:ascii="PermianSerifTypeface" w:eastAsia="Times New Roman" w:hAnsi="PermianSerifTypeface" w:cs="Arial"/>
          <w:i/>
          <w:iCs/>
          <w:kern w:val="0"/>
          <w:lang w:val="ro-RO" w:eastAsia="ro-MD"/>
          <w14:ligatures w14:val="none"/>
        </w:rPr>
        <w:t>2</w:t>
      </w:r>
      <w:r w:rsidRPr="00D511B5">
        <w:rPr>
          <w:rFonts w:ascii="PermianSerifTypeface" w:eastAsia="Times New Roman" w:hAnsi="PermianSerifTypeface" w:cs="Arial"/>
          <w:i/>
          <w:iCs/>
          <w:kern w:val="0"/>
          <w:lang w:val="ru-RU" w:eastAsia="ro-MD"/>
          <w14:ligatures w14:val="none"/>
        </w:rPr>
        <w:t>)</w:t>
      </w:r>
      <w:r w:rsidRPr="00D511B5">
        <w:rPr>
          <w:rFonts w:ascii="PermianSerifTypeface" w:eastAsia="Times New Roman" w:hAnsi="PermianSerifTypeface" w:cs="Arial"/>
          <w:kern w:val="0"/>
          <w:lang w:val="ru-RU" w:eastAsia="ro-MD"/>
          <w14:ligatures w14:val="none"/>
        </w:rPr>
        <w:t> </w:t>
      </w:r>
    </w:p>
    <w:p w14:paraId="468E7EE0" w14:textId="7777777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0D5E8952" w14:textId="71E17CDF" w:rsidR="00D511B5" w:rsidRPr="00D511B5" w:rsidRDefault="00D511B5" w:rsidP="00D511B5">
      <w:pPr>
        <w:ind w:right="354"/>
        <w:rPr>
          <w:rFonts w:ascii="PermianSerifTypeface" w:hAnsi="PermianSerifTypeface"/>
          <w:b/>
          <w:bCs/>
          <w:color w:val="A6A6A6" w:themeColor="background1" w:themeShade="A6"/>
          <w:sz w:val="16"/>
          <w:szCs w:val="16"/>
          <w:lang w:val="ru-RU"/>
        </w:rPr>
      </w:pP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Изменено:</w:t>
      </w:r>
      <w:r w:rsidRPr="00D511B5">
        <w:rPr>
          <w:rFonts w:ascii="PT Serif" w:hAnsi="PT Serif"/>
          <w:i/>
          <w:iCs/>
          <w:color w:val="A6A6A6" w:themeColor="background1" w:themeShade="A6"/>
          <w:sz w:val="16"/>
          <w:szCs w:val="16"/>
          <w:shd w:val="clear" w:color="auto" w:fill="FAFAFA"/>
          <w:lang w:val="ru-RU"/>
        </w:rPr>
        <w:br/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ПИК НБМ № 267 </w:t>
      </w:r>
      <w:r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>от</w:t>
      </w:r>
      <w:r w:rsidRPr="00D511B5">
        <w:rPr>
          <w:rStyle w:val="Emphasis"/>
          <w:rFonts w:ascii="PT Serif" w:hAnsi="PT Serif"/>
          <w:color w:val="A6A6A6" w:themeColor="background1" w:themeShade="A6"/>
          <w:sz w:val="16"/>
          <w:szCs w:val="16"/>
          <w:shd w:val="clear" w:color="auto" w:fill="FAFAFA"/>
          <w:lang w:val="ru-RU"/>
        </w:rPr>
        <w:t xml:space="preserve"> 31 октября 2024, MO РМ №.459-461 от 07.11.2024, ст.872</w:t>
      </w:r>
    </w:p>
    <w:p w14:paraId="75BFE1F0" w14:textId="2F31322C" w:rsidR="00D511B5" w:rsidRPr="00D511B5" w:rsidRDefault="00D511B5" w:rsidP="00D511B5">
      <w:pPr>
        <w:spacing w:after="0" w:line="240" w:lineRule="auto"/>
        <w:jc w:val="right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</w:p>
    <w:p w14:paraId="3ABC0471" w14:textId="7B99E2D2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 На основании </w:t>
      </w:r>
      <w:r w:rsidR="006E3550" w:rsidRPr="006E3550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п.4) части (1) ст.15, части (3) ст.21, частей (3), (4), (5) и (7) ст.27, п.с) части (1) ст.94 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Закона о платежных услугах и электронных деньгах № 114/2012 (Monitorul Oficial al Republicii Moldova, 2012, № 193-197, ст.661), с последующими изменениями, Исполнительный комитет Национального банка Молдовы</w:t>
      </w:r>
    </w:p>
    <w:p w14:paraId="4D40B87B" w14:textId="77777777" w:rsidR="00334474" w:rsidRDefault="00334474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5A0326C9" w14:textId="6EF878D7" w:rsidR="00D511B5" w:rsidRDefault="00D511B5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ПОСТАНОВЛЯЕТ:</w:t>
      </w:r>
    </w:p>
    <w:p w14:paraId="51FEC48A" w14:textId="77777777" w:rsidR="00334474" w:rsidRPr="00D511B5" w:rsidRDefault="00334474" w:rsidP="00D511B5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45F3CEA7" w14:textId="11352507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Утвердить Регламент о</w:t>
      </w:r>
      <w:r w:rsidR="006E3550" w:rsidRPr="006E3550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деятельности небанковских поставщиков платежных услуг (</w:t>
      </w:r>
      <w:hyperlink r:id="rId4" w:history="1">
        <w:r w:rsidR="006E3550" w:rsidRPr="006E3550">
          <w:rPr>
            <w:rStyle w:val="Hyperlink"/>
            <w:rFonts w:ascii="PermianSerifTypeface" w:eastAsia="Times New Roman" w:hAnsi="PermianSerifTypeface" w:cs="Arial"/>
            <w:kern w:val="0"/>
            <w:sz w:val="24"/>
            <w:szCs w:val="24"/>
            <w:lang w:val="ru-RU" w:eastAsia="ro-MD"/>
            <w14:ligatures w14:val="none"/>
          </w:rPr>
          <w:t>прилагается</w:t>
        </w:r>
      </w:hyperlink>
      <w:r w:rsidR="006E3550" w:rsidRPr="006E3550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).</w:t>
      </w:r>
    </w:p>
    <w:p w14:paraId="354BAA25" w14:textId="3DDEE5F1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</w:t>
      </w:r>
      <w:r w:rsidR="006E3550" w:rsidRPr="006E3550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Настоящее постановление вступает в силу на день опубликования в Monitorul Oficial al Republicii Moldova, за исключением положений, касающихся деятельности небанковских поставщиков платежных услуг, поставляющих платежные услуги, указанные в п.8) и 9) части (1) ст.4 Закона о платежных услугах и электронных деньгах № 114/2012, которые вступят в силу 01.02.2025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.</w:t>
      </w:r>
    </w:p>
    <w:p w14:paraId="35A092FC" w14:textId="3EA535DF" w:rsidR="00D511B5" w:rsidRPr="00D511B5" w:rsidRDefault="00D511B5" w:rsidP="00D511B5">
      <w:pPr>
        <w:spacing w:after="0" w:line="240" w:lineRule="auto"/>
        <w:jc w:val="both"/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[П.</w:t>
      </w:r>
      <w:r w:rsidR="006E3550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o-RO" w:eastAsia="ro-MD"/>
          <w14:ligatures w14:val="none"/>
        </w:rPr>
        <w:t>2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 изменен П</w:t>
      </w:r>
      <w:r w:rsid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ИК 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НБМ </w:t>
      </w:r>
      <w:r w:rsid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№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 267 от 31</w:t>
      </w:r>
      <w:r w:rsidR="00334474" w:rsidRPr="00334474">
        <w:t xml:space="preserve"> </w:t>
      </w:r>
      <w:r w:rsidR="00334474" w:rsidRP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октября</w:t>
      </w:r>
      <w:r w:rsidR="00334474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 xml:space="preserve"> </w:t>
      </w:r>
      <w:r w:rsidRPr="00D511B5">
        <w:rPr>
          <w:rFonts w:ascii="PermianSerifTypeface" w:eastAsia="Times New Roman" w:hAnsi="PermianSerifTypeface" w:cs="Arial"/>
          <w:i/>
          <w:iCs/>
          <w:color w:val="A6A6A6" w:themeColor="background1" w:themeShade="A6"/>
          <w:kern w:val="0"/>
          <w:lang w:val="ru-RU" w:eastAsia="ro-MD"/>
          <w14:ligatures w14:val="none"/>
        </w:rPr>
        <w:t>2024, в силу 07.11.2024]</w:t>
      </w:r>
    </w:p>
    <w:p w14:paraId="1527CCF3" w14:textId="6C8A417F" w:rsidR="00D511B5" w:rsidRPr="00D511B5" w:rsidRDefault="00D511B5" w:rsidP="00D511B5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</w:pP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 </w:t>
      </w:r>
      <w:r w:rsidR="006E3550">
        <w:rPr>
          <w:rFonts w:ascii="PermianSerifTypeface" w:eastAsia="Times New Roman" w:hAnsi="PermianSerifTypeface" w:cs="Arial"/>
          <w:kern w:val="0"/>
          <w:sz w:val="24"/>
          <w:szCs w:val="24"/>
          <w:lang w:val="ro-RO" w:eastAsia="ro-MD"/>
          <w14:ligatures w14:val="none"/>
        </w:rPr>
        <w:t>3</w:t>
      </w:r>
      <w:r w:rsidRPr="00D511B5">
        <w:rPr>
          <w:rFonts w:ascii="PermianSerifTypeface" w:eastAsia="Times New Roman" w:hAnsi="PermianSerifTypeface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D511B5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 xml:space="preserve"> До 6.02.2024 </w:t>
      </w:r>
      <w:r w:rsidR="006E3550" w:rsidRPr="006E3550">
        <w:rPr>
          <w:rFonts w:ascii="PermianSerifTypeface" w:eastAsia="Times New Roman" w:hAnsi="PermianSerifTypeface" w:cs="Arial"/>
          <w:kern w:val="0"/>
          <w:sz w:val="24"/>
          <w:szCs w:val="24"/>
          <w:lang w:val="ru-RU" w:eastAsia="ro-MD"/>
          <w14:ligatures w14:val="none"/>
        </w:rPr>
        <w:t>небанковским поставщикам платежных услуг, имеющим лицензию Национального банка Молдовы на осуществление деятельности по предоставлению платежных услуг и/или выпуску электронных денег, выданную на основании Закона о платежных услугах и электронных деньгах № 114/2012, скорректировать механизмы и внутренние процедуры в соответствии с положениями данного регламента, который вступает в силу со дня опубликования в Monitorul Oficial al Republicii Moldova.</w:t>
      </w:r>
    </w:p>
    <w:p w14:paraId="35D98349" w14:textId="77777777" w:rsidR="008773E9" w:rsidRPr="00D511B5" w:rsidRDefault="008773E9">
      <w:pPr>
        <w:rPr>
          <w:rFonts w:ascii="PermianSerifTypeface" w:hAnsi="PermianSerifTypeface"/>
          <w:sz w:val="24"/>
          <w:szCs w:val="24"/>
          <w:lang w:val="ru-RU"/>
        </w:rPr>
      </w:pPr>
    </w:p>
    <w:sectPr w:rsidR="008773E9" w:rsidRPr="00D5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08"/>
    <w:rsid w:val="00334474"/>
    <w:rsid w:val="006E3550"/>
    <w:rsid w:val="008773E9"/>
    <w:rsid w:val="0088381B"/>
    <w:rsid w:val="008D1508"/>
    <w:rsid w:val="00D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D717"/>
  <w15:chartTrackingRefBased/>
  <w15:docId w15:val="{F52195D2-4D5C-4A15-B465-72D9F755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t">
    <w:name w:val="emit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D5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character" w:styleId="Emphasis">
    <w:name w:val="Emphasis"/>
    <w:basedOn w:val="DefaultParagraphFont"/>
    <w:uiPriority w:val="20"/>
    <w:qFormat/>
    <w:rsid w:val="00D511B5"/>
    <w:rPr>
      <w:i/>
      <w:iCs/>
    </w:rPr>
  </w:style>
  <w:style w:type="character" w:styleId="Hyperlink">
    <w:name w:val="Hyperlink"/>
    <w:basedOn w:val="DefaultParagraphFont"/>
    <w:uiPriority w:val="99"/>
    <w:unhideWhenUsed/>
    <w:rsid w:val="00334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ttps://www.bnm.md/ru/content/reglament-o-deyatelnosti-nebankovskih-postavshchikov-platezhnyh-uslug-utverzhdennyy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2024-11-18T09:19:00Z</dcterms:created>
  <dcterms:modified xsi:type="dcterms:W3CDTF">2024-12-06T13:22:00Z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994d171a-3641-4376-b038-7e63d7fb301a</vt:lpwstr>
  </property>
  <property fmtid="{D5CDD505-2E9C-101B-9397-08002B2CF9AE}" pid="3" name="MSIP_Label_38962dcf-d39f-4edc-a396-338a56ba9170_Enabled">
    <vt:lpwstr>true</vt:lpwstr>
  </property>
  <property fmtid="{D5CDD505-2E9C-101B-9397-08002B2CF9AE}" pid="4" name="MSIP_Label_38962dcf-d39f-4edc-a396-338a56ba9170_SetDate">
    <vt:lpwstr>2024-11-18T09:19:23Z</vt:lpwstr>
  </property>
  <property fmtid="{D5CDD505-2E9C-101B-9397-08002B2CF9AE}" pid="5" name="MSIP_Label_38962dcf-d39f-4edc-a396-338a56ba9170_Method">
    <vt:lpwstr>Privileged</vt:lpwstr>
  </property>
  <property fmtid="{D5CDD505-2E9C-101B-9397-08002B2CF9AE}" pid="6" name="MSIP_Label_38962dcf-d39f-4edc-a396-338a56ba9170_Name">
    <vt:lpwstr>NONE</vt:lpwstr>
  </property>
  <property fmtid="{D5CDD505-2E9C-101B-9397-08002B2CF9AE}" pid="7" name="MSIP_Label_38962dcf-d39f-4edc-a396-338a56ba9170_SiteId">
    <vt:lpwstr>5887d430-0034-4561-b771-12c77faf2fa0</vt:lpwstr>
  </property>
  <property fmtid="{D5CDD505-2E9C-101B-9397-08002B2CF9AE}" pid="8" name="MSIP_Label_38962dcf-d39f-4edc-a396-338a56ba9170_ActionId">
    <vt:lpwstr>810a3e52-3f07-43dc-8bff-e878c71f6cd6</vt:lpwstr>
  </property>
  <property fmtid="{D5CDD505-2E9C-101B-9397-08002B2CF9AE}" pid="9" name="MSIP_Label_38962dcf-d39f-4edc-a396-338a56ba9170_ContentBits">
    <vt:lpwstr>0</vt:lpwstr>
  </property>
  <property fmtid="{D5CDD505-2E9C-101B-9397-08002B2CF9AE}" pid="10" name="Clasificare">
    <vt:lpwstr>NONE</vt:lpwstr>
  </property>
</Properties>
</file>